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A8169" w14:textId="77777777" w:rsidR="0096786E" w:rsidRDefault="0096786E" w:rsidP="0096786E">
      <w:pPr>
        <w:pStyle w:val="Arttitle"/>
      </w:pPr>
      <w:r w:rsidRPr="005D6953">
        <w:t xml:space="preserve">Increased </w:t>
      </w:r>
      <w:r>
        <w:t>likelihood</w:t>
      </w:r>
      <w:r w:rsidRPr="005D6953">
        <w:t xml:space="preserve"> of induced seismicity in </w:t>
      </w:r>
      <w:r>
        <w:t xml:space="preserve">highly </w:t>
      </w:r>
      <w:proofErr w:type="spellStart"/>
      <w:r w:rsidRPr="005D6953">
        <w:t>overpressured</w:t>
      </w:r>
      <w:proofErr w:type="spellEnd"/>
      <w:r w:rsidRPr="005D6953">
        <w:t xml:space="preserve"> shale formations</w:t>
      </w:r>
    </w:p>
    <w:p w14:paraId="712F1C2A" w14:textId="77777777" w:rsidR="00BB68AB" w:rsidRDefault="00BB68AB" w:rsidP="00BB68AB">
      <w:pPr>
        <w:pStyle w:val="Arttitle"/>
      </w:pPr>
    </w:p>
    <w:p w14:paraId="72FC21B2" w14:textId="04A487CB" w:rsidR="0096786E" w:rsidRDefault="0096786E" w:rsidP="0096786E">
      <w:pPr>
        <w:pStyle w:val="Author"/>
        <w:spacing w:line="360" w:lineRule="auto"/>
      </w:pPr>
      <w:r w:rsidRPr="005D6953">
        <w:t>David W. Eaton</w:t>
      </w:r>
      <w:r w:rsidRPr="005D6953">
        <w:rPr>
          <w:vertAlign w:val="superscript"/>
        </w:rPr>
        <w:t>1</w:t>
      </w:r>
      <w:r>
        <w:t>, and Ryan Schultz</w:t>
      </w:r>
      <w:bookmarkStart w:id="0" w:name="_GoBack"/>
      <w:bookmarkEnd w:id="0"/>
      <w:r w:rsidR="00641104">
        <w:rPr>
          <w:vertAlign w:val="superscript"/>
        </w:rPr>
        <w:t>2</w:t>
      </w:r>
    </w:p>
    <w:p w14:paraId="4DA5ABD0" w14:textId="77777777" w:rsidR="0096786E" w:rsidRPr="0096786E" w:rsidRDefault="0096786E" w:rsidP="0096786E">
      <w:pPr>
        <w:pStyle w:val="AuthorAffiliation"/>
        <w:rPr>
          <w:sz w:val="22"/>
          <w:szCs w:val="22"/>
        </w:rPr>
      </w:pPr>
      <w:r w:rsidRPr="0096786E">
        <w:rPr>
          <w:sz w:val="22"/>
          <w:szCs w:val="22"/>
          <w:vertAlign w:val="superscript"/>
        </w:rPr>
        <w:t>1</w:t>
      </w:r>
      <w:r w:rsidRPr="0096786E">
        <w:rPr>
          <w:sz w:val="22"/>
          <w:szCs w:val="22"/>
        </w:rPr>
        <w:t xml:space="preserve"> Department of Geoscience, University of Calgary, Calgary, AB, Canada T2N 1N4 eatond@ucalgary.ca</w:t>
      </w:r>
    </w:p>
    <w:p w14:paraId="10BD8D90" w14:textId="4E9886F1" w:rsidR="00BB68AB" w:rsidRPr="0096786E" w:rsidRDefault="00641104" w:rsidP="0096786E">
      <w:pPr>
        <w:pStyle w:val="AuthorAffiliation"/>
        <w:rPr>
          <w:sz w:val="22"/>
          <w:szCs w:val="22"/>
        </w:rPr>
      </w:pPr>
      <w:r>
        <w:rPr>
          <w:sz w:val="22"/>
          <w:szCs w:val="22"/>
          <w:vertAlign w:val="superscript"/>
        </w:rPr>
        <w:t>2</w:t>
      </w:r>
      <w:r w:rsidR="0096786E" w:rsidRPr="0096786E">
        <w:rPr>
          <w:sz w:val="22"/>
          <w:szCs w:val="22"/>
        </w:rPr>
        <w:t xml:space="preserve"> Alberta Geological </w:t>
      </w:r>
      <w:proofErr w:type="gramStart"/>
      <w:r w:rsidR="0096786E" w:rsidRPr="0096786E">
        <w:rPr>
          <w:sz w:val="22"/>
          <w:szCs w:val="22"/>
        </w:rPr>
        <w:t>Survey</w:t>
      </w:r>
      <w:proofErr w:type="gramEnd"/>
      <w:r w:rsidR="0096786E" w:rsidRPr="0096786E">
        <w:rPr>
          <w:sz w:val="22"/>
          <w:szCs w:val="22"/>
        </w:rPr>
        <w:t>, Alberta Energy Regulator, Edmonton, AB, Canada, T6B 2X3</w:t>
      </w:r>
    </w:p>
    <w:p w14:paraId="0900BEDA" w14:textId="77777777" w:rsidR="0096786E" w:rsidRDefault="0096786E" w:rsidP="0096786E">
      <w:pPr>
        <w:pStyle w:val="AuthorAffiliation"/>
      </w:pPr>
    </w:p>
    <w:p w14:paraId="7F3D8845" w14:textId="77777777" w:rsidR="0096786E" w:rsidRDefault="0096786E" w:rsidP="0096786E">
      <w:pPr>
        <w:pStyle w:val="AuthorAffiliation"/>
      </w:pPr>
    </w:p>
    <w:p w14:paraId="2951A7B0" w14:textId="2513DB90" w:rsidR="0096786E" w:rsidRDefault="00BB68AB" w:rsidP="00ED473C">
      <w:pPr>
        <w:pStyle w:val="AppendixHead"/>
        <w:spacing w:line="480" w:lineRule="auto"/>
      </w:pPr>
      <w:r>
        <w:t>SUPPLEMENTA</w:t>
      </w:r>
      <w:r w:rsidR="000525EC">
        <w:t>RY</w:t>
      </w:r>
      <w:r>
        <w:t xml:space="preserve"> INFORMATION</w:t>
      </w:r>
    </w:p>
    <w:p w14:paraId="5831FEBE" w14:textId="7BA8D07E" w:rsidR="00ED473C" w:rsidRDefault="00ED473C" w:rsidP="00ED473C">
      <w:pPr>
        <w:pStyle w:val="AppendixHead"/>
        <w:spacing w:line="480" w:lineRule="auto"/>
      </w:pPr>
      <w:r>
        <w:t>APPENDIX</w:t>
      </w:r>
    </w:p>
    <w:p w14:paraId="07A950B1" w14:textId="536406FC" w:rsidR="00ED473C" w:rsidRDefault="00ED473C" w:rsidP="00D275D4">
      <w:pPr>
        <w:spacing w:line="480" w:lineRule="auto"/>
        <w:ind w:firstLine="720"/>
        <w:jc w:val="both"/>
      </w:pPr>
      <w:r>
        <w:t xml:space="preserve">Table </w:t>
      </w:r>
      <w:r w:rsidR="004466CF">
        <w:t>S</w:t>
      </w:r>
      <w:r>
        <w:t xml:space="preserve">1 provides a compilation of pore-pressure gradients reported in the literature for a number of major unconventional fairways in North America. Like the </w:t>
      </w:r>
      <w:proofErr w:type="spellStart"/>
      <w:r>
        <w:t>Montney</w:t>
      </w:r>
      <w:proofErr w:type="spellEnd"/>
      <w:r>
        <w:t xml:space="preserve"> and Duvernay fairways in </w:t>
      </w:r>
      <w:r w:rsidR="00657C58">
        <w:t>the W</w:t>
      </w:r>
      <w:r>
        <w:t>estern Canada</w:t>
      </w:r>
      <w:r w:rsidR="00657C58">
        <w:t xml:space="preserve"> Sedimentary Basin</w:t>
      </w:r>
      <w:r>
        <w:t xml:space="preserve">, a number of these plays include regions of high overpressure. Only the Haynesville fairway, however, is characterized by isolated higher pressures than those considered in this study. It is also notable that possible hydraulic-fracturing induced seismicity has recently been identified within the Haynesville play (Walter et al., 2016). </w:t>
      </w:r>
    </w:p>
    <w:p w14:paraId="4C83D8A2" w14:textId="77777777" w:rsidR="00107F93" w:rsidRDefault="00107F93">
      <w:pPr>
        <w:rPr>
          <w:b/>
        </w:rPr>
      </w:pPr>
      <w:r>
        <w:br w:type="page"/>
      </w:r>
    </w:p>
    <w:p w14:paraId="7E0E5267" w14:textId="360DDA7E" w:rsidR="00ED473C" w:rsidRDefault="00ED473C" w:rsidP="00657C58">
      <w:pPr>
        <w:pStyle w:val="AppendixHead"/>
        <w:spacing w:line="480" w:lineRule="auto"/>
      </w:pPr>
      <w:r>
        <w:lastRenderedPageBreak/>
        <w:t>SUPPLEMENTA</w:t>
      </w:r>
      <w:r w:rsidR="00657C58">
        <w:t xml:space="preserve">RY </w:t>
      </w:r>
      <w:r>
        <w:t>REFERENCES (APPENDIX)</w:t>
      </w:r>
    </w:p>
    <w:p w14:paraId="3273847E" w14:textId="00F36035" w:rsidR="00FD1EC4" w:rsidRPr="00FD1EC4" w:rsidRDefault="00FD1EC4" w:rsidP="00FD1EC4">
      <w:pPr>
        <w:spacing w:line="480" w:lineRule="auto"/>
        <w:ind w:left="431" w:hanging="431"/>
        <w:rPr>
          <w:rFonts w:cs="Arial"/>
          <w:color w:val="1A1A1A"/>
        </w:rPr>
      </w:pPr>
      <w:proofErr w:type="spellStart"/>
      <w:r w:rsidRPr="00433EF5">
        <w:rPr>
          <w:rFonts w:cs="Arial"/>
          <w:color w:val="1A1A1A"/>
        </w:rPr>
        <w:t>Cander</w:t>
      </w:r>
      <w:proofErr w:type="spellEnd"/>
      <w:r w:rsidRPr="00433EF5">
        <w:rPr>
          <w:rFonts w:cs="Arial"/>
          <w:color w:val="1A1A1A"/>
        </w:rPr>
        <w:t>, H.</w:t>
      </w:r>
      <w:r>
        <w:rPr>
          <w:rFonts w:cs="Arial"/>
          <w:color w:val="1A1A1A"/>
        </w:rPr>
        <w:t>, (2012), Sweet spots in shale gas and liquids plays: Prediction of fluid c</w:t>
      </w:r>
      <w:r w:rsidRPr="00433EF5">
        <w:rPr>
          <w:rFonts w:cs="Arial"/>
          <w:color w:val="1A1A1A"/>
        </w:rPr>
        <w:t>om</w:t>
      </w:r>
      <w:r>
        <w:rPr>
          <w:rFonts w:cs="Arial"/>
          <w:color w:val="1A1A1A"/>
        </w:rPr>
        <w:t>position and reservoir pressure:</w:t>
      </w:r>
      <w:r w:rsidRPr="00433EF5">
        <w:rPr>
          <w:rFonts w:cs="Arial"/>
          <w:color w:val="1A1A1A"/>
        </w:rPr>
        <w:t xml:space="preserve"> AAPG Annual Convention and Exhibition, Long Beach, California, Search and Discovery Arti</w:t>
      </w:r>
      <w:r>
        <w:rPr>
          <w:rFonts w:cs="Arial"/>
          <w:color w:val="1A1A1A"/>
        </w:rPr>
        <w:t>cle #40936</w:t>
      </w:r>
      <w:r w:rsidRPr="00433EF5">
        <w:rPr>
          <w:rFonts w:cs="Arial"/>
          <w:color w:val="1A1A1A"/>
        </w:rPr>
        <w:t>.</w:t>
      </w:r>
    </w:p>
    <w:p w14:paraId="65C145AF" w14:textId="77777777" w:rsidR="00ED473C" w:rsidRDefault="00ED473C" w:rsidP="00ED473C">
      <w:pPr>
        <w:spacing w:line="480" w:lineRule="auto"/>
        <w:ind w:left="720" w:hanging="720"/>
      </w:pPr>
      <w:r>
        <w:t xml:space="preserve">Havens, J., 2007, Mechanical properties of the Bakken Formation: MSc thesis, Colorado School of Mines, 110 pp. </w:t>
      </w:r>
    </w:p>
    <w:p w14:paraId="11A52168" w14:textId="77777777" w:rsidR="00ED473C" w:rsidRDefault="00ED473C" w:rsidP="00ED473C">
      <w:pPr>
        <w:spacing w:line="480" w:lineRule="auto"/>
        <w:ind w:left="720" w:hanging="720"/>
      </w:pPr>
      <w:r w:rsidRPr="00A77862">
        <w:t xml:space="preserve">Walter, J.I., </w:t>
      </w:r>
      <w:proofErr w:type="spellStart"/>
      <w:r w:rsidRPr="00A77862">
        <w:t>Dotray</w:t>
      </w:r>
      <w:proofErr w:type="spellEnd"/>
      <w:r w:rsidRPr="00A77862">
        <w:t xml:space="preserve">, P.J., </w:t>
      </w:r>
      <w:proofErr w:type="spellStart"/>
      <w:r w:rsidRPr="00A77862">
        <w:t>Fr</w:t>
      </w:r>
      <w:r>
        <w:t>ohlich</w:t>
      </w:r>
      <w:proofErr w:type="spellEnd"/>
      <w:r>
        <w:t>, C. and Gale, J.F., 2016,</w:t>
      </w:r>
      <w:r w:rsidRPr="00A77862">
        <w:t xml:space="preserve"> Earthquakes in Northwest Louisiana and the Texas–Louisiana Border Possibly Induced by Energy Resource Activities wi</w:t>
      </w:r>
      <w:r>
        <w:t>thin the Haynesville Shale Play: Seismological Research Letters, v. 87, p. 285-294.</w:t>
      </w:r>
    </w:p>
    <w:p w14:paraId="70B27514" w14:textId="77777777" w:rsidR="00107F93" w:rsidRDefault="00ED473C" w:rsidP="00ED473C">
      <w:pPr>
        <w:spacing w:line="480" w:lineRule="auto"/>
        <w:ind w:left="720" w:hanging="720"/>
      </w:pPr>
      <w:r w:rsidRPr="00FA149C">
        <w:t xml:space="preserve">Wang F.P. </w:t>
      </w:r>
      <w:r>
        <w:t xml:space="preserve">and Gale, J. F.W., 2009, </w:t>
      </w:r>
      <w:proofErr w:type="gramStart"/>
      <w:r w:rsidRPr="00FA149C">
        <w:t>Screening</w:t>
      </w:r>
      <w:proofErr w:type="gramEnd"/>
      <w:r>
        <w:t xml:space="preserve"> criteria for shale-gas systems:</w:t>
      </w:r>
      <w:r w:rsidRPr="00FA149C">
        <w:t xml:space="preserve"> </w:t>
      </w:r>
      <w:r w:rsidRPr="00041145">
        <w:t>Gulf Coast Association of Geological Societies Transactions</w:t>
      </w:r>
      <w:r>
        <w:t>, v.</w:t>
      </w:r>
      <w:r w:rsidRPr="00FA149C">
        <w:t xml:space="preserve"> </w:t>
      </w:r>
      <w:r w:rsidRPr="00041145">
        <w:t>59</w:t>
      </w:r>
      <w:r w:rsidRPr="00FA149C">
        <w:t xml:space="preserve">, </w:t>
      </w:r>
      <w:r>
        <w:t>p. 779–793</w:t>
      </w:r>
      <w:r w:rsidRPr="00FA149C">
        <w:t>.</w:t>
      </w:r>
    </w:p>
    <w:p w14:paraId="06FF5459" w14:textId="09426A71" w:rsidR="00ED473C" w:rsidRDefault="00ED473C" w:rsidP="00ED473C">
      <w:pPr>
        <w:spacing w:line="480" w:lineRule="auto"/>
        <w:ind w:left="720" w:hanging="720"/>
        <w:rPr>
          <w:b/>
        </w:rPr>
      </w:pPr>
      <w:r>
        <w:br w:type="page"/>
      </w:r>
    </w:p>
    <w:p w14:paraId="0C538B57" w14:textId="224573FE" w:rsidR="00ED473C" w:rsidRDefault="0083182A" w:rsidP="00ED473C">
      <w:pPr>
        <w:pStyle w:val="AppendixHead"/>
        <w:spacing w:line="480" w:lineRule="auto"/>
      </w:pPr>
      <w:r>
        <w:lastRenderedPageBreak/>
        <w:t xml:space="preserve">SUPPLEMENTARY </w:t>
      </w:r>
      <w:r w:rsidR="00ED473C">
        <w:t xml:space="preserve">TABLES: </w:t>
      </w:r>
    </w:p>
    <w:p w14:paraId="7C153423" w14:textId="6496DF17" w:rsidR="00ED473C" w:rsidRDefault="00ED473C" w:rsidP="00ED473C">
      <w:pPr>
        <w:spacing w:after="120" w:line="360" w:lineRule="auto"/>
      </w:pPr>
      <w:r w:rsidRPr="00FA149C">
        <w:rPr>
          <w:b/>
        </w:rPr>
        <w:t xml:space="preserve">Table </w:t>
      </w:r>
      <w:r w:rsidR="00524074">
        <w:rPr>
          <w:b/>
        </w:rPr>
        <w:t>S</w:t>
      </w:r>
      <w:r w:rsidRPr="00FA149C">
        <w:rPr>
          <w:b/>
        </w:rPr>
        <w:t>1.</w:t>
      </w:r>
      <w:r>
        <w:t xml:space="preserve"> </w:t>
      </w:r>
      <w:proofErr w:type="gramStart"/>
      <w:r w:rsidR="00524074">
        <w:t>Formation</w:t>
      </w:r>
      <w:r>
        <w:t>-pressure gradient for selected unconventional plays.</w:t>
      </w:r>
      <w:proofErr w:type="gramEnd"/>
    </w:p>
    <w:p w14:paraId="547E1102" w14:textId="77777777" w:rsidR="00ED473C" w:rsidRDefault="00ED473C" w:rsidP="00ED473C">
      <w:pPr>
        <w:widowControl w:val="0"/>
      </w:pPr>
    </w:p>
    <w:tbl>
      <w:tblPr>
        <w:tblW w:w="0" w:type="auto"/>
        <w:jc w:val="center"/>
        <w:tblLook w:val="04A0" w:firstRow="1" w:lastRow="0" w:firstColumn="1" w:lastColumn="0" w:noHBand="0" w:noVBand="1"/>
      </w:tblPr>
      <w:tblGrid>
        <w:gridCol w:w="4428"/>
        <w:gridCol w:w="4428"/>
      </w:tblGrid>
      <w:tr w:rsidR="00ED473C" w14:paraId="06124C71" w14:textId="77777777" w:rsidTr="004E2D61">
        <w:trPr>
          <w:jc w:val="center"/>
        </w:trPr>
        <w:tc>
          <w:tcPr>
            <w:tcW w:w="4428" w:type="dxa"/>
            <w:tcBorders>
              <w:bottom w:val="single" w:sz="4" w:space="0" w:color="auto"/>
            </w:tcBorders>
            <w:shd w:val="clear" w:color="auto" w:fill="auto"/>
          </w:tcPr>
          <w:p w14:paraId="035F61F5" w14:textId="77777777" w:rsidR="00ED473C" w:rsidRDefault="00ED473C" w:rsidP="004E2D61">
            <w:pPr>
              <w:widowControl w:val="0"/>
              <w:jc w:val="center"/>
            </w:pPr>
            <w:r>
              <w:t>Unconventional Play</w:t>
            </w:r>
          </w:p>
        </w:tc>
        <w:tc>
          <w:tcPr>
            <w:tcW w:w="4428" w:type="dxa"/>
            <w:tcBorders>
              <w:bottom w:val="single" w:sz="4" w:space="0" w:color="auto"/>
            </w:tcBorders>
            <w:shd w:val="clear" w:color="auto" w:fill="auto"/>
            <w:vAlign w:val="bottom"/>
          </w:tcPr>
          <w:p w14:paraId="7D3D9A83" w14:textId="77777777" w:rsidR="00ED473C" w:rsidRDefault="00ED473C" w:rsidP="004E2D61">
            <w:pPr>
              <w:widowControl w:val="0"/>
              <w:jc w:val="center"/>
            </w:pPr>
            <w:r>
              <w:t>Pore Pressure Gradient</w:t>
            </w:r>
          </w:p>
          <w:p w14:paraId="3F5DA1BB" w14:textId="77777777" w:rsidR="00ED473C" w:rsidRDefault="00ED473C" w:rsidP="004E2D61">
            <w:pPr>
              <w:widowControl w:val="0"/>
              <w:spacing w:after="60"/>
              <w:jc w:val="center"/>
            </w:pPr>
            <w:r>
              <w:t>(</w:t>
            </w:r>
            <w:proofErr w:type="spellStart"/>
            <w:r>
              <w:t>kPa</w:t>
            </w:r>
            <w:proofErr w:type="spellEnd"/>
            <w:r>
              <w:t>/m)</w:t>
            </w:r>
          </w:p>
        </w:tc>
      </w:tr>
      <w:tr w:rsidR="00ED473C" w14:paraId="3D396F44" w14:textId="77777777" w:rsidTr="004E2D61">
        <w:trPr>
          <w:jc w:val="center"/>
        </w:trPr>
        <w:tc>
          <w:tcPr>
            <w:tcW w:w="4428" w:type="dxa"/>
            <w:tcBorders>
              <w:top w:val="single" w:sz="4" w:space="0" w:color="auto"/>
            </w:tcBorders>
            <w:shd w:val="clear" w:color="auto" w:fill="auto"/>
            <w:vAlign w:val="bottom"/>
          </w:tcPr>
          <w:p w14:paraId="070B45CC" w14:textId="77777777" w:rsidR="00ED473C" w:rsidRDefault="00ED473C" w:rsidP="004E2D61">
            <w:pPr>
              <w:spacing w:before="60"/>
              <w:jc w:val="center"/>
            </w:pPr>
            <w:r>
              <w:t>Barnett, Fort Worth Basin</w:t>
            </w:r>
          </w:p>
        </w:tc>
        <w:tc>
          <w:tcPr>
            <w:tcW w:w="4428" w:type="dxa"/>
            <w:tcBorders>
              <w:top w:val="single" w:sz="4" w:space="0" w:color="auto"/>
            </w:tcBorders>
            <w:shd w:val="clear" w:color="auto" w:fill="auto"/>
            <w:vAlign w:val="center"/>
          </w:tcPr>
          <w:p w14:paraId="5681662B" w14:textId="77777777" w:rsidR="00ED473C" w:rsidRDefault="00ED473C" w:rsidP="004E2D61">
            <w:pPr>
              <w:spacing w:before="60"/>
              <w:jc w:val="center"/>
            </w:pPr>
            <w:r>
              <w:t>9.7 – 11.8</w:t>
            </w:r>
            <w:r w:rsidRPr="00F93264">
              <w:rPr>
                <w:vertAlign w:val="superscript"/>
              </w:rPr>
              <w:t>a</w:t>
            </w:r>
          </w:p>
        </w:tc>
      </w:tr>
      <w:tr w:rsidR="00ED473C" w14:paraId="5A3155E9" w14:textId="77777777" w:rsidTr="004E2D61">
        <w:trPr>
          <w:jc w:val="center"/>
        </w:trPr>
        <w:tc>
          <w:tcPr>
            <w:tcW w:w="4428" w:type="dxa"/>
            <w:shd w:val="clear" w:color="auto" w:fill="auto"/>
            <w:vAlign w:val="center"/>
          </w:tcPr>
          <w:p w14:paraId="5F6E4FE7" w14:textId="77777777" w:rsidR="00ED473C" w:rsidRDefault="00ED473C" w:rsidP="004E2D61">
            <w:pPr>
              <w:spacing w:before="60"/>
              <w:jc w:val="center"/>
            </w:pPr>
            <w:r>
              <w:t>Marcellus, Appalachian Basin</w:t>
            </w:r>
          </w:p>
        </w:tc>
        <w:tc>
          <w:tcPr>
            <w:tcW w:w="4428" w:type="dxa"/>
            <w:shd w:val="clear" w:color="auto" w:fill="auto"/>
            <w:vAlign w:val="center"/>
          </w:tcPr>
          <w:p w14:paraId="25FC46B5" w14:textId="77777777" w:rsidR="00ED473C" w:rsidRDefault="00ED473C" w:rsidP="004E2D61">
            <w:pPr>
              <w:spacing w:before="60"/>
              <w:jc w:val="center"/>
            </w:pPr>
            <w:r>
              <w:t>6.8 – 15.8</w:t>
            </w:r>
            <w:r w:rsidRPr="00F93264">
              <w:rPr>
                <w:vertAlign w:val="superscript"/>
              </w:rPr>
              <w:t>a</w:t>
            </w:r>
          </w:p>
        </w:tc>
      </w:tr>
      <w:tr w:rsidR="00ED473C" w14:paraId="2A0111B8" w14:textId="77777777" w:rsidTr="004E2D61">
        <w:trPr>
          <w:jc w:val="center"/>
        </w:trPr>
        <w:tc>
          <w:tcPr>
            <w:tcW w:w="4428" w:type="dxa"/>
            <w:shd w:val="clear" w:color="auto" w:fill="auto"/>
            <w:vAlign w:val="center"/>
          </w:tcPr>
          <w:p w14:paraId="31B9A26A" w14:textId="77777777" w:rsidR="00ED473C" w:rsidRDefault="00ED473C" w:rsidP="004E2D61">
            <w:pPr>
              <w:spacing w:before="60"/>
              <w:jc w:val="center"/>
            </w:pPr>
            <w:r>
              <w:t>Bakken, Williston Basin</w:t>
            </w:r>
          </w:p>
        </w:tc>
        <w:tc>
          <w:tcPr>
            <w:tcW w:w="4428" w:type="dxa"/>
            <w:shd w:val="clear" w:color="auto" w:fill="auto"/>
            <w:vAlign w:val="center"/>
          </w:tcPr>
          <w:p w14:paraId="39987D06" w14:textId="77777777" w:rsidR="00ED473C" w:rsidRDefault="00ED473C" w:rsidP="004E2D61">
            <w:pPr>
              <w:spacing w:before="60"/>
              <w:jc w:val="center"/>
            </w:pPr>
            <w:r>
              <w:t>14.7</w:t>
            </w:r>
            <w:r w:rsidRPr="00F93264">
              <w:rPr>
                <w:vertAlign w:val="superscript"/>
              </w:rPr>
              <w:t>b</w:t>
            </w:r>
          </w:p>
        </w:tc>
      </w:tr>
      <w:tr w:rsidR="00ED473C" w14:paraId="19A881A4" w14:textId="77777777" w:rsidTr="004E2D61">
        <w:trPr>
          <w:jc w:val="center"/>
        </w:trPr>
        <w:tc>
          <w:tcPr>
            <w:tcW w:w="4428" w:type="dxa"/>
            <w:shd w:val="clear" w:color="auto" w:fill="auto"/>
            <w:vAlign w:val="center"/>
          </w:tcPr>
          <w:p w14:paraId="06117EB6" w14:textId="77777777" w:rsidR="00ED473C" w:rsidRDefault="00ED473C" w:rsidP="004E2D61">
            <w:pPr>
              <w:spacing w:before="60"/>
              <w:jc w:val="center"/>
            </w:pPr>
            <w:proofErr w:type="spellStart"/>
            <w:r>
              <w:t>Eagleford</w:t>
            </w:r>
            <w:proofErr w:type="spellEnd"/>
            <w:r>
              <w:t>, Maverick Basin</w:t>
            </w:r>
          </w:p>
        </w:tc>
        <w:tc>
          <w:tcPr>
            <w:tcW w:w="4428" w:type="dxa"/>
            <w:shd w:val="clear" w:color="auto" w:fill="auto"/>
            <w:vAlign w:val="center"/>
          </w:tcPr>
          <w:p w14:paraId="6836CECD" w14:textId="77777777" w:rsidR="00ED473C" w:rsidRDefault="00ED473C" w:rsidP="004E2D61">
            <w:pPr>
              <w:spacing w:before="60"/>
              <w:jc w:val="center"/>
            </w:pPr>
            <w:r>
              <w:t>14.9 – 16.7</w:t>
            </w:r>
            <w:r w:rsidRPr="00F93264">
              <w:rPr>
                <w:vertAlign w:val="superscript"/>
              </w:rPr>
              <w:t>c</w:t>
            </w:r>
          </w:p>
        </w:tc>
      </w:tr>
      <w:tr w:rsidR="00ED473C" w14:paraId="7CA7A9C5" w14:textId="77777777" w:rsidTr="004E2D61">
        <w:trPr>
          <w:jc w:val="center"/>
        </w:trPr>
        <w:tc>
          <w:tcPr>
            <w:tcW w:w="4428" w:type="dxa"/>
            <w:shd w:val="clear" w:color="auto" w:fill="auto"/>
            <w:vAlign w:val="center"/>
          </w:tcPr>
          <w:p w14:paraId="70822B05" w14:textId="77777777" w:rsidR="00ED473C" w:rsidRDefault="00ED473C" w:rsidP="004E2D61">
            <w:pPr>
              <w:spacing w:before="60"/>
              <w:jc w:val="center"/>
            </w:pPr>
            <w:r>
              <w:t>Haynesville, Gulf Coast Basin</w:t>
            </w:r>
          </w:p>
        </w:tc>
        <w:tc>
          <w:tcPr>
            <w:tcW w:w="4428" w:type="dxa"/>
            <w:shd w:val="clear" w:color="auto" w:fill="auto"/>
            <w:vAlign w:val="center"/>
          </w:tcPr>
          <w:p w14:paraId="4CB952BB" w14:textId="77777777" w:rsidR="00ED473C" w:rsidRDefault="00ED473C" w:rsidP="004E2D61">
            <w:pPr>
              <w:spacing w:before="60"/>
              <w:jc w:val="center"/>
            </w:pPr>
            <w:r>
              <w:t>&lt; 20.3</w:t>
            </w:r>
            <w:r w:rsidRPr="00F93264">
              <w:rPr>
                <w:vertAlign w:val="superscript"/>
              </w:rPr>
              <w:t>b</w:t>
            </w:r>
          </w:p>
        </w:tc>
      </w:tr>
      <w:tr w:rsidR="00ED473C" w14:paraId="784DFC35" w14:textId="77777777" w:rsidTr="004E2D61">
        <w:trPr>
          <w:jc w:val="center"/>
        </w:trPr>
        <w:tc>
          <w:tcPr>
            <w:tcW w:w="4428" w:type="dxa"/>
            <w:shd w:val="clear" w:color="auto" w:fill="auto"/>
            <w:vAlign w:val="center"/>
          </w:tcPr>
          <w:p w14:paraId="4728E29A" w14:textId="77777777" w:rsidR="00ED473C" w:rsidRDefault="00ED473C" w:rsidP="004E2D61">
            <w:pPr>
              <w:spacing w:before="60"/>
              <w:jc w:val="center"/>
            </w:pPr>
            <w:proofErr w:type="spellStart"/>
            <w:r>
              <w:t>Montney</w:t>
            </w:r>
            <w:proofErr w:type="spellEnd"/>
            <w:r>
              <w:t xml:space="preserve">, </w:t>
            </w:r>
            <w:proofErr w:type="spellStart"/>
            <w:r>
              <w:t>WCSB</w:t>
            </w:r>
            <w:r w:rsidRPr="00661E42">
              <w:rPr>
                <w:vertAlign w:val="superscript"/>
              </w:rPr>
              <w:t>d</w:t>
            </w:r>
            <w:proofErr w:type="spellEnd"/>
          </w:p>
        </w:tc>
        <w:tc>
          <w:tcPr>
            <w:tcW w:w="4428" w:type="dxa"/>
            <w:shd w:val="clear" w:color="auto" w:fill="auto"/>
            <w:vAlign w:val="center"/>
          </w:tcPr>
          <w:p w14:paraId="068A077D" w14:textId="77777777" w:rsidR="00ED473C" w:rsidRDefault="00ED473C" w:rsidP="004E2D61">
            <w:pPr>
              <w:spacing w:before="60"/>
              <w:jc w:val="center"/>
            </w:pPr>
            <w:r>
              <w:t>7-19</w:t>
            </w:r>
          </w:p>
        </w:tc>
      </w:tr>
      <w:tr w:rsidR="00ED473C" w14:paraId="1B460B31" w14:textId="77777777" w:rsidTr="004E2D61">
        <w:trPr>
          <w:jc w:val="center"/>
        </w:trPr>
        <w:tc>
          <w:tcPr>
            <w:tcW w:w="4428" w:type="dxa"/>
            <w:shd w:val="clear" w:color="auto" w:fill="auto"/>
            <w:vAlign w:val="center"/>
          </w:tcPr>
          <w:p w14:paraId="62D16720" w14:textId="55BD4497" w:rsidR="00ED473C" w:rsidRDefault="00ED473C" w:rsidP="004E2D61">
            <w:pPr>
              <w:spacing w:before="60"/>
              <w:jc w:val="center"/>
            </w:pPr>
            <w:r>
              <w:t>Duvernay, WCSB</w:t>
            </w:r>
            <w:r w:rsidR="00F41F8C" w:rsidRPr="00661E42">
              <w:rPr>
                <w:vertAlign w:val="superscript"/>
              </w:rPr>
              <w:t>d</w:t>
            </w:r>
          </w:p>
        </w:tc>
        <w:tc>
          <w:tcPr>
            <w:tcW w:w="4428" w:type="dxa"/>
            <w:shd w:val="clear" w:color="auto" w:fill="auto"/>
            <w:vAlign w:val="center"/>
          </w:tcPr>
          <w:p w14:paraId="166E29CB" w14:textId="77777777" w:rsidR="00ED473C" w:rsidRDefault="00ED473C" w:rsidP="004E2D61">
            <w:pPr>
              <w:spacing w:before="60"/>
              <w:jc w:val="center"/>
            </w:pPr>
            <w:r>
              <w:t>12-20</w:t>
            </w:r>
          </w:p>
        </w:tc>
      </w:tr>
    </w:tbl>
    <w:p w14:paraId="69282459" w14:textId="77777777" w:rsidR="00ED473C" w:rsidRDefault="00ED473C" w:rsidP="00ED473C">
      <w:pPr>
        <w:spacing w:after="120" w:line="360" w:lineRule="auto"/>
      </w:pPr>
    </w:p>
    <w:p w14:paraId="44076A76" w14:textId="77777777" w:rsidR="00ED473C" w:rsidRDefault="00ED473C" w:rsidP="00ED473C">
      <w:pPr>
        <w:spacing w:before="60"/>
        <w:ind w:left="567" w:right="567"/>
      </w:pPr>
      <w:proofErr w:type="gramStart"/>
      <w:r w:rsidRPr="005558C5">
        <w:rPr>
          <w:vertAlign w:val="superscript"/>
        </w:rPr>
        <w:t xml:space="preserve">a </w:t>
      </w:r>
      <w:r>
        <w:t xml:space="preserve"> Wang</w:t>
      </w:r>
      <w:proofErr w:type="gramEnd"/>
      <w:r>
        <w:t xml:space="preserve"> and Gale,</w:t>
      </w:r>
      <w:r w:rsidRPr="00FA149C">
        <w:t xml:space="preserve"> (2009).</w:t>
      </w:r>
    </w:p>
    <w:p w14:paraId="6B8BFB92" w14:textId="77777777" w:rsidR="00ED473C" w:rsidRDefault="00ED473C" w:rsidP="00ED473C">
      <w:pPr>
        <w:spacing w:before="60"/>
        <w:ind w:left="567" w:right="567"/>
      </w:pPr>
      <w:proofErr w:type="gramStart"/>
      <w:r w:rsidRPr="005558C5">
        <w:rPr>
          <w:vertAlign w:val="superscript"/>
        </w:rPr>
        <w:t>b</w:t>
      </w:r>
      <w:proofErr w:type="gramEnd"/>
      <w:r>
        <w:t xml:space="preserve"> Havens (2007).</w:t>
      </w:r>
    </w:p>
    <w:p w14:paraId="743EED8C" w14:textId="77777777" w:rsidR="00ED473C" w:rsidRDefault="00ED473C" w:rsidP="00ED473C">
      <w:pPr>
        <w:spacing w:before="60"/>
        <w:ind w:left="567" w:right="567"/>
      </w:pPr>
      <w:proofErr w:type="gramStart"/>
      <w:r w:rsidRPr="005558C5">
        <w:rPr>
          <w:vertAlign w:val="superscript"/>
        </w:rPr>
        <w:t>c</w:t>
      </w:r>
      <w:proofErr w:type="gramEnd"/>
      <w:r>
        <w:t xml:space="preserve"> </w:t>
      </w:r>
      <w:proofErr w:type="spellStart"/>
      <w:r>
        <w:t>Cander</w:t>
      </w:r>
      <w:proofErr w:type="spellEnd"/>
      <w:r>
        <w:t xml:space="preserve"> </w:t>
      </w:r>
      <w:r w:rsidRPr="00FA149C">
        <w:t>(2012).</w:t>
      </w:r>
    </w:p>
    <w:p w14:paraId="3430CECD" w14:textId="201F25BB" w:rsidR="00ED473C" w:rsidRDefault="00ED473C" w:rsidP="003F6E9F">
      <w:pPr>
        <w:spacing w:before="60"/>
        <w:ind w:left="567" w:right="567"/>
      </w:pPr>
      <w:proofErr w:type="gramStart"/>
      <w:r w:rsidRPr="00661E42">
        <w:rPr>
          <w:vertAlign w:val="superscript"/>
        </w:rPr>
        <w:t>d</w:t>
      </w:r>
      <w:proofErr w:type="gramEnd"/>
      <w:r>
        <w:t xml:space="preserve"> WCSB denotes Western Canada Sedimentary Basin. </w:t>
      </w:r>
      <w:r w:rsidR="006406FD">
        <w:t>Formation</w:t>
      </w:r>
      <w:r>
        <w:t>-pressure gradient values are from this study.</w:t>
      </w:r>
    </w:p>
    <w:p w14:paraId="4F7A695C" w14:textId="77777777" w:rsidR="00ED473C" w:rsidRDefault="00ED473C" w:rsidP="00ED473C">
      <w:pPr>
        <w:rPr>
          <w:rFonts w:eastAsia="MS Mincho"/>
          <w:b/>
        </w:rPr>
      </w:pPr>
      <w:r>
        <w:rPr>
          <w:rFonts w:eastAsia="MS Mincho"/>
          <w:b/>
        </w:rPr>
        <w:br w:type="page"/>
      </w:r>
    </w:p>
    <w:p w14:paraId="3A68B1FD" w14:textId="77777777" w:rsidR="00ED473C" w:rsidRPr="00A112BF" w:rsidRDefault="00ED473C" w:rsidP="00BB68AB">
      <w:pPr>
        <w:spacing w:line="480" w:lineRule="auto"/>
        <w:rPr>
          <w:u w:val="single"/>
        </w:rPr>
      </w:pPr>
      <w:r w:rsidRPr="00A112BF">
        <w:rPr>
          <w:u w:val="single"/>
        </w:rPr>
        <w:lastRenderedPageBreak/>
        <w:t>Additional data files (Excel):</w:t>
      </w:r>
    </w:p>
    <w:p w14:paraId="3C805B02" w14:textId="77777777" w:rsidR="00ED473C" w:rsidRDefault="00ED473C" w:rsidP="00BB68AB">
      <w:pPr>
        <w:spacing w:line="480" w:lineRule="auto"/>
      </w:pPr>
    </w:p>
    <w:p w14:paraId="23302921" w14:textId="2E7947D1" w:rsidR="00ED473C" w:rsidRDefault="00ED473C" w:rsidP="00BB68AB">
      <w:pPr>
        <w:spacing w:line="480" w:lineRule="auto"/>
      </w:pPr>
      <w:r>
        <w:rPr>
          <w:b/>
        </w:rPr>
        <w:t xml:space="preserve">Table </w:t>
      </w:r>
      <w:r w:rsidR="00524074">
        <w:rPr>
          <w:b/>
        </w:rPr>
        <w:t>S2</w:t>
      </w:r>
      <w:r>
        <w:t>.</w:t>
      </w:r>
      <w:r w:rsidRPr="00A112BF">
        <w:t xml:space="preserve"> </w:t>
      </w:r>
      <w:proofErr w:type="gramStart"/>
      <w:r w:rsidRPr="00A112BF">
        <w:t xml:space="preserve">List of earthquakes within the </w:t>
      </w:r>
      <w:proofErr w:type="spellStart"/>
      <w:r>
        <w:t>Montney</w:t>
      </w:r>
      <w:proofErr w:type="spellEnd"/>
      <w:r w:rsidRPr="00A112BF">
        <w:t xml:space="preserve"> fairway t</w:t>
      </w:r>
      <w:r>
        <w:t>hat are potentially induced by h</w:t>
      </w:r>
      <w:r w:rsidRPr="00A112BF">
        <w:t>ydraulic fracturing.</w:t>
      </w:r>
      <w:proofErr w:type="gramEnd"/>
      <w:r w:rsidRPr="00A112BF">
        <w:t xml:space="preserve"> </w:t>
      </w:r>
    </w:p>
    <w:p w14:paraId="09A6A2D2" w14:textId="77777777" w:rsidR="00ED473C" w:rsidRDefault="00ED473C" w:rsidP="00BB68AB">
      <w:pPr>
        <w:spacing w:line="480" w:lineRule="auto"/>
      </w:pPr>
    </w:p>
    <w:p w14:paraId="58C0FEDF" w14:textId="7B307904" w:rsidR="00ED473C" w:rsidRDefault="00524074" w:rsidP="00BB68AB">
      <w:pPr>
        <w:spacing w:line="480" w:lineRule="auto"/>
      </w:pPr>
      <w:r>
        <w:rPr>
          <w:b/>
        </w:rPr>
        <w:t>Table S3</w:t>
      </w:r>
      <w:r w:rsidR="00ED473C">
        <w:t>.</w:t>
      </w:r>
      <w:r w:rsidR="00ED473C" w:rsidRPr="00A112BF">
        <w:t xml:space="preserve"> </w:t>
      </w:r>
      <w:proofErr w:type="gramStart"/>
      <w:r w:rsidR="00ED473C" w:rsidRPr="00A112BF">
        <w:t>List of earthquakes within the Duvernay fairway t</w:t>
      </w:r>
      <w:r w:rsidR="00ED473C">
        <w:t>hat are potentially induced by h</w:t>
      </w:r>
      <w:r w:rsidR="00ED473C" w:rsidRPr="00A112BF">
        <w:t>ydraulic fracturing.</w:t>
      </w:r>
      <w:proofErr w:type="gramEnd"/>
      <w:r w:rsidR="00ED473C" w:rsidRPr="00A112BF">
        <w:t xml:space="preserve"> </w:t>
      </w:r>
    </w:p>
    <w:p w14:paraId="55E27A56" w14:textId="77777777" w:rsidR="00437F8D" w:rsidRDefault="00437F8D"/>
    <w:sectPr w:rsidR="00437F8D" w:rsidSect="00BB68AB">
      <w:footerReference w:type="even" r:id="rId7"/>
      <w:footerReference w:type="default" r:id="rId8"/>
      <w:pgSz w:w="12240" w:h="15840"/>
      <w:pgMar w:top="1440" w:right="1797" w:bottom="1440" w:left="1797"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DB839" w14:textId="77777777" w:rsidR="006A545A" w:rsidRDefault="006A545A" w:rsidP="00BB68AB">
      <w:r>
        <w:separator/>
      </w:r>
    </w:p>
  </w:endnote>
  <w:endnote w:type="continuationSeparator" w:id="0">
    <w:p w14:paraId="7A5CD8D8" w14:textId="77777777" w:rsidR="006A545A" w:rsidRDefault="006A545A" w:rsidP="00BB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BCC90" w14:textId="77777777" w:rsidR="00BB68AB" w:rsidRDefault="00BB68AB" w:rsidP="002F31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83764D" w14:textId="77777777" w:rsidR="00BB68AB" w:rsidRDefault="00BB68AB" w:rsidP="00BB68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03378" w14:textId="77777777" w:rsidR="00BB68AB" w:rsidRDefault="00BB68AB" w:rsidP="002F31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1104">
      <w:rPr>
        <w:rStyle w:val="PageNumber"/>
        <w:noProof/>
      </w:rPr>
      <w:t>1</w:t>
    </w:r>
    <w:r>
      <w:rPr>
        <w:rStyle w:val="PageNumber"/>
      </w:rPr>
      <w:fldChar w:fldCharType="end"/>
    </w:r>
  </w:p>
  <w:p w14:paraId="16D360A2" w14:textId="77777777" w:rsidR="00BB68AB" w:rsidRDefault="00BB68AB" w:rsidP="00BB68A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C61D6" w14:textId="77777777" w:rsidR="006A545A" w:rsidRDefault="006A545A" w:rsidP="00BB68AB">
      <w:r>
        <w:separator/>
      </w:r>
    </w:p>
  </w:footnote>
  <w:footnote w:type="continuationSeparator" w:id="0">
    <w:p w14:paraId="7BD291CE" w14:textId="77777777" w:rsidR="006A545A" w:rsidRDefault="006A545A" w:rsidP="00BB68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73C"/>
    <w:rsid w:val="000525EC"/>
    <w:rsid w:val="000F633F"/>
    <w:rsid w:val="00107F93"/>
    <w:rsid w:val="003F6E9F"/>
    <w:rsid w:val="00437F8D"/>
    <w:rsid w:val="004466CF"/>
    <w:rsid w:val="00524074"/>
    <w:rsid w:val="005315E2"/>
    <w:rsid w:val="006406FD"/>
    <w:rsid w:val="00641104"/>
    <w:rsid w:val="00657C58"/>
    <w:rsid w:val="006A545A"/>
    <w:rsid w:val="0083182A"/>
    <w:rsid w:val="0096786E"/>
    <w:rsid w:val="00AC0F17"/>
    <w:rsid w:val="00B84A01"/>
    <w:rsid w:val="00BB68AB"/>
    <w:rsid w:val="00C4351E"/>
    <w:rsid w:val="00D275D4"/>
    <w:rsid w:val="00ED473C"/>
    <w:rsid w:val="00F41F8C"/>
    <w:rsid w:val="00FD1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A28A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73C"/>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Normal"/>
    <w:rsid w:val="00ED473C"/>
    <w:pPr>
      <w:outlineLvl w:val="0"/>
    </w:pPr>
    <w:rPr>
      <w:b/>
    </w:rPr>
  </w:style>
  <w:style w:type="paragraph" w:customStyle="1" w:styleId="AppendixHead">
    <w:name w:val="Appendix Head"/>
    <w:basedOn w:val="Normal"/>
    <w:rsid w:val="00ED473C"/>
    <w:pPr>
      <w:outlineLvl w:val="0"/>
    </w:pPr>
    <w:rPr>
      <w:b/>
    </w:rPr>
  </w:style>
  <w:style w:type="paragraph" w:customStyle="1" w:styleId="ReferenceHead">
    <w:name w:val="Reference Head"/>
    <w:basedOn w:val="Normal"/>
    <w:rsid w:val="00ED473C"/>
    <w:pPr>
      <w:outlineLvl w:val="0"/>
    </w:pPr>
    <w:rPr>
      <w:b/>
    </w:rPr>
  </w:style>
  <w:style w:type="table" w:styleId="TableGrid">
    <w:name w:val="Table Grid"/>
    <w:basedOn w:val="TableNormal"/>
    <w:uiPriority w:val="59"/>
    <w:rsid w:val="00ED473C"/>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73C"/>
    <w:rPr>
      <w:rFonts w:ascii="Lucida Grande" w:hAnsi="Lucida Grande"/>
      <w:sz w:val="18"/>
      <w:szCs w:val="18"/>
    </w:rPr>
  </w:style>
  <w:style w:type="character" w:customStyle="1" w:styleId="BalloonTextChar">
    <w:name w:val="Balloon Text Char"/>
    <w:basedOn w:val="DefaultParagraphFont"/>
    <w:link w:val="BalloonText"/>
    <w:uiPriority w:val="99"/>
    <w:semiHidden/>
    <w:rsid w:val="00ED473C"/>
    <w:rPr>
      <w:rFonts w:ascii="Lucida Grande" w:eastAsia="Times New Roman" w:hAnsi="Lucida Grande" w:cs="Times New Roman"/>
      <w:sz w:val="18"/>
      <w:szCs w:val="18"/>
    </w:rPr>
  </w:style>
  <w:style w:type="paragraph" w:customStyle="1" w:styleId="FigureCaption">
    <w:name w:val="Figure Caption"/>
    <w:basedOn w:val="Normal"/>
    <w:rsid w:val="00ED473C"/>
  </w:style>
  <w:style w:type="paragraph" w:customStyle="1" w:styleId="Arttitle">
    <w:name w:val="Art title"/>
    <w:basedOn w:val="Normal"/>
    <w:rsid w:val="00BB68AB"/>
    <w:pPr>
      <w:outlineLvl w:val="0"/>
    </w:pPr>
    <w:rPr>
      <w:sz w:val="36"/>
    </w:rPr>
  </w:style>
  <w:style w:type="paragraph" w:customStyle="1" w:styleId="Author">
    <w:name w:val="Author"/>
    <w:basedOn w:val="Normal"/>
    <w:rsid w:val="00BB68AB"/>
    <w:rPr>
      <w:b/>
    </w:rPr>
  </w:style>
  <w:style w:type="paragraph" w:customStyle="1" w:styleId="AuthorAffiliation">
    <w:name w:val="Author Affiliation"/>
    <w:basedOn w:val="Normal"/>
    <w:rsid w:val="00BB68AB"/>
    <w:rPr>
      <w:i/>
    </w:rPr>
  </w:style>
  <w:style w:type="character" w:styleId="LineNumber">
    <w:name w:val="line number"/>
    <w:basedOn w:val="DefaultParagraphFont"/>
    <w:uiPriority w:val="99"/>
    <w:semiHidden/>
    <w:unhideWhenUsed/>
    <w:rsid w:val="00BB68AB"/>
  </w:style>
  <w:style w:type="paragraph" w:styleId="Footer">
    <w:name w:val="footer"/>
    <w:basedOn w:val="Normal"/>
    <w:link w:val="FooterChar"/>
    <w:uiPriority w:val="99"/>
    <w:unhideWhenUsed/>
    <w:rsid w:val="00BB68AB"/>
    <w:pPr>
      <w:tabs>
        <w:tab w:val="center" w:pos="4320"/>
        <w:tab w:val="right" w:pos="8640"/>
      </w:tabs>
    </w:pPr>
  </w:style>
  <w:style w:type="character" w:customStyle="1" w:styleId="FooterChar">
    <w:name w:val="Footer Char"/>
    <w:basedOn w:val="DefaultParagraphFont"/>
    <w:link w:val="Footer"/>
    <w:uiPriority w:val="99"/>
    <w:rsid w:val="00BB68AB"/>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BB68AB"/>
  </w:style>
  <w:style w:type="character" w:styleId="CommentReference">
    <w:name w:val="annotation reference"/>
    <w:basedOn w:val="DefaultParagraphFont"/>
    <w:uiPriority w:val="99"/>
    <w:semiHidden/>
    <w:unhideWhenUsed/>
    <w:rsid w:val="0096786E"/>
    <w:rPr>
      <w:sz w:val="16"/>
      <w:szCs w:val="16"/>
    </w:rPr>
  </w:style>
  <w:style w:type="paragraph" w:styleId="CommentText">
    <w:name w:val="annotation text"/>
    <w:basedOn w:val="Normal"/>
    <w:link w:val="CommentTextChar"/>
    <w:uiPriority w:val="99"/>
    <w:semiHidden/>
    <w:unhideWhenUsed/>
    <w:rsid w:val="0096786E"/>
    <w:rPr>
      <w:sz w:val="20"/>
      <w:szCs w:val="20"/>
    </w:rPr>
  </w:style>
  <w:style w:type="character" w:customStyle="1" w:styleId="CommentTextChar">
    <w:name w:val="Comment Text Char"/>
    <w:basedOn w:val="DefaultParagraphFont"/>
    <w:link w:val="CommentText"/>
    <w:uiPriority w:val="99"/>
    <w:semiHidden/>
    <w:rsid w:val="0096786E"/>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73C"/>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Normal"/>
    <w:rsid w:val="00ED473C"/>
    <w:pPr>
      <w:outlineLvl w:val="0"/>
    </w:pPr>
    <w:rPr>
      <w:b/>
    </w:rPr>
  </w:style>
  <w:style w:type="paragraph" w:customStyle="1" w:styleId="AppendixHead">
    <w:name w:val="Appendix Head"/>
    <w:basedOn w:val="Normal"/>
    <w:rsid w:val="00ED473C"/>
    <w:pPr>
      <w:outlineLvl w:val="0"/>
    </w:pPr>
    <w:rPr>
      <w:b/>
    </w:rPr>
  </w:style>
  <w:style w:type="paragraph" w:customStyle="1" w:styleId="ReferenceHead">
    <w:name w:val="Reference Head"/>
    <w:basedOn w:val="Normal"/>
    <w:rsid w:val="00ED473C"/>
    <w:pPr>
      <w:outlineLvl w:val="0"/>
    </w:pPr>
    <w:rPr>
      <w:b/>
    </w:rPr>
  </w:style>
  <w:style w:type="table" w:styleId="TableGrid">
    <w:name w:val="Table Grid"/>
    <w:basedOn w:val="TableNormal"/>
    <w:uiPriority w:val="59"/>
    <w:rsid w:val="00ED473C"/>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473C"/>
    <w:rPr>
      <w:rFonts w:ascii="Lucida Grande" w:hAnsi="Lucida Grande"/>
      <w:sz w:val="18"/>
      <w:szCs w:val="18"/>
    </w:rPr>
  </w:style>
  <w:style w:type="character" w:customStyle="1" w:styleId="BalloonTextChar">
    <w:name w:val="Balloon Text Char"/>
    <w:basedOn w:val="DefaultParagraphFont"/>
    <w:link w:val="BalloonText"/>
    <w:uiPriority w:val="99"/>
    <w:semiHidden/>
    <w:rsid w:val="00ED473C"/>
    <w:rPr>
      <w:rFonts w:ascii="Lucida Grande" w:eastAsia="Times New Roman" w:hAnsi="Lucida Grande" w:cs="Times New Roman"/>
      <w:sz w:val="18"/>
      <w:szCs w:val="18"/>
    </w:rPr>
  </w:style>
  <w:style w:type="paragraph" w:customStyle="1" w:styleId="FigureCaption">
    <w:name w:val="Figure Caption"/>
    <w:basedOn w:val="Normal"/>
    <w:rsid w:val="00ED473C"/>
  </w:style>
  <w:style w:type="paragraph" w:customStyle="1" w:styleId="Arttitle">
    <w:name w:val="Art title"/>
    <w:basedOn w:val="Normal"/>
    <w:rsid w:val="00BB68AB"/>
    <w:pPr>
      <w:outlineLvl w:val="0"/>
    </w:pPr>
    <w:rPr>
      <w:sz w:val="36"/>
    </w:rPr>
  </w:style>
  <w:style w:type="paragraph" w:customStyle="1" w:styleId="Author">
    <w:name w:val="Author"/>
    <w:basedOn w:val="Normal"/>
    <w:rsid w:val="00BB68AB"/>
    <w:rPr>
      <w:b/>
    </w:rPr>
  </w:style>
  <w:style w:type="paragraph" w:customStyle="1" w:styleId="AuthorAffiliation">
    <w:name w:val="Author Affiliation"/>
    <w:basedOn w:val="Normal"/>
    <w:rsid w:val="00BB68AB"/>
    <w:rPr>
      <w:i/>
    </w:rPr>
  </w:style>
  <w:style w:type="character" w:styleId="LineNumber">
    <w:name w:val="line number"/>
    <w:basedOn w:val="DefaultParagraphFont"/>
    <w:uiPriority w:val="99"/>
    <w:semiHidden/>
    <w:unhideWhenUsed/>
    <w:rsid w:val="00BB68AB"/>
  </w:style>
  <w:style w:type="paragraph" w:styleId="Footer">
    <w:name w:val="footer"/>
    <w:basedOn w:val="Normal"/>
    <w:link w:val="FooterChar"/>
    <w:uiPriority w:val="99"/>
    <w:unhideWhenUsed/>
    <w:rsid w:val="00BB68AB"/>
    <w:pPr>
      <w:tabs>
        <w:tab w:val="center" w:pos="4320"/>
        <w:tab w:val="right" w:pos="8640"/>
      </w:tabs>
    </w:pPr>
  </w:style>
  <w:style w:type="character" w:customStyle="1" w:styleId="FooterChar">
    <w:name w:val="Footer Char"/>
    <w:basedOn w:val="DefaultParagraphFont"/>
    <w:link w:val="Footer"/>
    <w:uiPriority w:val="99"/>
    <w:rsid w:val="00BB68AB"/>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BB68AB"/>
  </w:style>
  <w:style w:type="character" w:styleId="CommentReference">
    <w:name w:val="annotation reference"/>
    <w:basedOn w:val="DefaultParagraphFont"/>
    <w:uiPriority w:val="99"/>
    <w:semiHidden/>
    <w:unhideWhenUsed/>
    <w:rsid w:val="0096786E"/>
    <w:rPr>
      <w:sz w:val="16"/>
      <w:szCs w:val="16"/>
    </w:rPr>
  </w:style>
  <w:style w:type="paragraph" w:styleId="CommentText">
    <w:name w:val="annotation text"/>
    <w:basedOn w:val="Normal"/>
    <w:link w:val="CommentTextChar"/>
    <w:uiPriority w:val="99"/>
    <w:semiHidden/>
    <w:unhideWhenUsed/>
    <w:rsid w:val="0096786E"/>
    <w:rPr>
      <w:sz w:val="20"/>
      <w:szCs w:val="20"/>
    </w:rPr>
  </w:style>
  <w:style w:type="character" w:customStyle="1" w:styleId="CommentTextChar">
    <w:name w:val="Comment Text Char"/>
    <w:basedOn w:val="DefaultParagraphFont"/>
    <w:link w:val="CommentText"/>
    <w:uiPriority w:val="99"/>
    <w:semiHidden/>
    <w:rsid w:val="0096786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374</Words>
  <Characters>2136</Characters>
  <Application>Microsoft Office Word</Application>
  <DocSecurity>0</DocSecurity>
  <Lines>17</Lines>
  <Paragraphs>5</Paragraphs>
  <ScaleCrop>false</ScaleCrop>
  <Company>University of Calgary</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Eaton</dc:creator>
  <cp:keywords/>
  <dc:description/>
  <cp:lastModifiedBy>AER</cp:lastModifiedBy>
  <cp:revision>18</cp:revision>
  <dcterms:created xsi:type="dcterms:W3CDTF">2016-11-08T13:09:00Z</dcterms:created>
  <dcterms:modified xsi:type="dcterms:W3CDTF">2018-02-12T20:04:00Z</dcterms:modified>
</cp:coreProperties>
</file>